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4B5" w:rsidRPr="00DD34B5" w:rsidRDefault="00DD34B5" w:rsidP="00DD34B5">
      <w:pPr>
        <w:autoSpaceDE w:val="0"/>
        <w:autoSpaceDN w:val="0"/>
        <w:adjustRightInd w:val="0"/>
        <w:jc w:val="center"/>
        <w:outlineLvl w:val="1"/>
        <w:rPr>
          <w:rFonts w:asciiTheme="majorHAnsi" w:eastAsia="SimSun" w:hAnsiTheme="majorHAnsi"/>
          <w:b/>
          <w:bCs/>
          <w:color w:val="365F91" w:themeColor="accent1" w:themeShade="BF"/>
          <w:sz w:val="32"/>
          <w:szCs w:val="32"/>
          <w:lang w:eastAsia="zh-CN"/>
        </w:rPr>
      </w:pPr>
      <w:bookmarkStart w:id="0" w:name="_Toc419472824"/>
      <w:r w:rsidRPr="00DD34B5">
        <w:rPr>
          <w:rFonts w:asciiTheme="majorHAnsi" w:eastAsia="SimSun" w:hAnsiTheme="majorHAnsi"/>
          <w:b/>
          <w:bCs/>
          <w:color w:val="365F91" w:themeColor="accent1" w:themeShade="BF"/>
          <w:sz w:val="32"/>
          <w:szCs w:val="32"/>
          <w:lang w:eastAsia="zh-CN"/>
        </w:rPr>
        <w:t>Technical information sheet for the proposed SDG indicator “Proportion of households with broadband Internet access, by urban/rural”</w:t>
      </w:r>
      <w:bookmarkEnd w:id="0"/>
    </w:p>
    <w:p w:rsidR="00DD34B5" w:rsidRPr="00DD34B5" w:rsidRDefault="00DD34B5" w:rsidP="00DD34B5">
      <w:pPr>
        <w:autoSpaceDE w:val="0"/>
        <w:autoSpaceDN w:val="0"/>
        <w:adjustRightInd w:val="0"/>
        <w:outlineLvl w:val="1"/>
        <w:rPr>
          <w:rFonts w:asciiTheme="majorHAnsi" w:eastAsiaTheme="majorEastAsia" w:hAnsiTheme="majorHAnsi" w:cstheme="majorBidi"/>
          <w:b/>
          <w:bCs/>
          <w:color w:val="365F91" w:themeColor="accent1" w:themeShade="BF"/>
          <w:sz w:val="28"/>
          <w:szCs w:val="28"/>
          <w:lang w:eastAsia="ja-JP"/>
        </w:rPr>
      </w:pPr>
    </w:p>
    <w:p w:rsidR="00DD34B5" w:rsidRPr="00DD34B5" w:rsidRDefault="00DD34B5" w:rsidP="00DD34B5">
      <w:pPr>
        <w:autoSpaceDE w:val="0"/>
        <w:autoSpaceDN w:val="0"/>
        <w:adjustRightInd w:val="0"/>
        <w:outlineLvl w:val="1"/>
        <w:rPr>
          <w:rFonts w:asciiTheme="minorHAnsi" w:eastAsia="SimSun" w:hAnsiTheme="minorHAnsi"/>
          <w:b/>
          <w:bCs/>
          <w:color w:val="auto"/>
          <w:sz w:val="32"/>
          <w:szCs w:val="32"/>
          <w:lang w:eastAsia="zh-CN"/>
        </w:rPr>
      </w:pPr>
      <w:r w:rsidRPr="00DD34B5">
        <w:rPr>
          <w:rFonts w:asciiTheme="majorHAnsi" w:eastAsiaTheme="majorEastAsia" w:hAnsiTheme="majorHAnsi" w:cstheme="majorBidi"/>
          <w:b/>
          <w:bCs/>
          <w:color w:val="365F91" w:themeColor="accent1" w:themeShade="BF"/>
          <w:sz w:val="28"/>
          <w:szCs w:val="28"/>
          <w:lang w:eastAsia="ja-JP"/>
        </w:rPr>
        <w:t>Goal and target addressed</w:t>
      </w:r>
    </w:p>
    <w:p w:rsidR="00DD34B5" w:rsidRPr="00DD34B5" w:rsidRDefault="00DD34B5" w:rsidP="00DD34B5">
      <w:pPr>
        <w:rPr>
          <w:rFonts w:asciiTheme="minorHAnsi" w:eastAsia="MS Mincho" w:hAnsiTheme="minorHAnsi"/>
          <w:color w:val="auto"/>
          <w:lang w:eastAsia="ja-JP"/>
        </w:rPr>
      </w:pPr>
      <w:bookmarkStart w:id="1" w:name="_Toc419472825"/>
      <w:r w:rsidRPr="00DD34B5">
        <w:rPr>
          <w:rFonts w:asciiTheme="minorHAnsi" w:eastAsia="MS Mincho" w:hAnsiTheme="minorHAnsi"/>
          <w:color w:val="auto"/>
          <w:lang w:eastAsia="ja-JP"/>
        </w:rPr>
        <w:t>Goal 1: End poverty in all its forms everywhere</w:t>
      </w:r>
      <w:bookmarkEnd w:id="1"/>
    </w:p>
    <w:p w:rsidR="00DD34B5" w:rsidRPr="00DD34B5" w:rsidRDefault="00DD34B5" w:rsidP="00DD34B5">
      <w:pPr>
        <w:rPr>
          <w:rFonts w:asciiTheme="minorHAnsi" w:eastAsia="MS Mincho" w:hAnsiTheme="minorHAnsi"/>
          <w:color w:val="auto"/>
          <w:lang w:eastAsia="zh-CN"/>
        </w:rPr>
      </w:pPr>
      <w:bookmarkStart w:id="2" w:name="_Toc419472826"/>
      <w:r w:rsidRPr="00DD34B5">
        <w:rPr>
          <w:rFonts w:asciiTheme="minorHAnsi" w:eastAsia="MS Mincho" w:hAnsiTheme="minorHAnsi"/>
          <w:color w:val="auto"/>
          <w:lang w:eastAsia="ja-JP"/>
        </w:rPr>
        <w:t>Target 1.4: By 2030, ensure that all men and women, in particular the poor and the vulnerable, have equal rights to economic resources, as well as access to basic services, ownership and control over land and other forms of property, inheritance, natural resources, appropriate new technology and financial services, including microfinance.</w:t>
      </w:r>
      <w:bookmarkEnd w:id="2"/>
    </w:p>
    <w:p w:rsidR="00DD34B5" w:rsidRPr="00DD34B5" w:rsidRDefault="00DD34B5" w:rsidP="00DD34B5">
      <w:pPr>
        <w:keepNext/>
        <w:keepLines/>
        <w:spacing w:before="480"/>
        <w:outlineLvl w:val="0"/>
        <w:rPr>
          <w:rFonts w:asciiTheme="majorHAnsi" w:eastAsiaTheme="majorEastAsia" w:hAnsiTheme="majorHAnsi" w:cstheme="majorBidi"/>
          <w:b/>
          <w:bCs/>
          <w:color w:val="365F91" w:themeColor="accent1" w:themeShade="BF"/>
          <w:sz w:val="28"/>
          <w:szCs w:val="28"/>
          <w:lang w:val="en-US" w:eastAsia="zh-CN"/>
        </w:rPr>
      </w:pPr>
      <w:r w:rsidRPr="00DD34B5">
        <w:rPr>
          <w:rFonts w:asciiTheme="majorHAnsi" w:eastAsiaTheme="majorEastAsia" w:hAnsiTheme="majorHAnsi" w:cstheme="majorBidi"/>
          <w:b/>
          <w:bCs/>
          <w:color w:val="365F91" w:themeColor="accent1" w:themeShade="BF"/>
          <w:sz w:val="28"/>
          <w:szCs w:val="28"/>
          <w:lang w:val="en-US" w:eastAsia="zh-CN"/>
        </w:rPr>
        <w:t>Definition and method of computation</w:t>
      </w:r>
    </w:p>
    <w:p w:rsidR="00DD34B5" w:rsidRPr="00DD34B5" w:rsidRDefault="00DD34B5" w:rsidP="00DD34B5">
      <w:pPr>
        <w:rPr>
          <w:rFonts w:asciiTheme="minorHAnsi" w:eastAsiaTheme="minorEastAsia" w:hAnsiTheme="minorHAnsi" w:cs="Arial"/>
          <w:color w:val="auto"/>
          <w:lang w:val="en-US"/>
        </w:rPr>
      </w:pPr>
      <w:r w:rsidRPr="00DD34B5">
        <w:rPr>
          <w:rFonts w:asciiTheme="minorHAnsi" w:eastAsia="MS Mincho" w:hAnsiTheme="minorHAnsi"/>
          <w:color w:val="auto"/>
          <w:lang w:val="en-US"/>
        </w:rPr>
        <w:t xml:space="preserve">This indicator </w:t>
      </w:r>
      <w:r w:rsidRPr="00DD34B5">
        <w:rPr>
          <w:rFonts w:asciiTheme="minorHAnsi" w:eastAsia="MS Mincho" w:hAnsiTheme="minorHAnsi"/>
          <w:i/>
          <w:iCs/>
          <w:color w:val="auto"/>
          <w:lang w:val="en-US"/>
        </w:rPr>
        <w:t>proportion of</w:t>
      </w:r>
      <w:r w:rsidRPr="00DD34B5">
        <w:rPr>
          <w:rFonts w:asciiTheme="minorHAnsi" w:eastAsia="MS Mincho" w:hAnsiTheme="minorHAnsi"/>
          <w:color w:val="auto"/>
          <w:lang w:val="en-US"/>
        </w:rPr>
        <w:t xml:space="preserve"> </w:t>
      </w:r>
      <w:r w:rsidRPr="00DD34B5">
        <w:rPr>
          <w:rFonts w:asciiTheme="minorHAnsi" w:eastAsia="MS Mincho" w:hAnsiTheme="minorHAnsi"/>
          <w:i/>
          <w:iCs/>
          <w:color w:val="auto"/>
          <w:lang w:val="en-US"/>
        </w:rPr>
        <w:t>households with broadband Internet access, by urban/rural</w:t>
      </w:r>
      <w:r w:rsidRPr="00DD34B5">
        <w:rPr>
          <w:rFonts w:asciiTheme="minorHAnsi" w:eastAsia="MS Mincho" w:hAnsiTheme="minorHAnsi"/>
          <w:color w:val="auto"/>
          <w:lang w:val="en-US"/>
        </w:rPr>
        <w:t xml:space="preserve"> is defined as the proportion of </w:t>
      </w:r>
      <w:r w:rsidRPr="00DD34B5">
        <w:rPr>
          <w:rFonts w:asciiTheme="minorHAnsi" w:eastAsiaTheme="minorEastAsia" w:hAnsiTheme="minorHAnsi" w:cs="Arial"/>
          <w:color w:val="auto"/>
          <w:lang w:val="en-US"/>
        </w:rPr>
        <w:t xml:space="preserve">households with broadband Internet access using different types of broadband services. Broadband is defined as technologies that deliver advertised download speeds </w:t>
      </w:r>
      <w:proofErr w:type="gramStart"/>
      <w:r w:rsidRPr="00DD34B5">
        <w:rPr>
          <w:rFonts w:asciiTheme="minorHAnsi" w:eastAsiaTheme="minorEastAsia" w:hAnsiTheme="minorHAnsi" w:cs="Arial"/>
          <w:color w:val="auto"/>
          <w:lang w:val="en-US"/>
        </w:rPr>
        <w:t xml:space="preserve">of at least 256 </w:t>
      </w:r>
      <w:proofErr w:type="spellStart"/>
      <w:r w:rsidRPr="00DD34B5">
        <w:rPr>
          <w:rFonts w:asciiTheme="minorHAnsi" w:eastAsiaTheme="minorEastAsia" w:hAnsiTheme="minorHAnsi" w:cs="Arial"/>
          <w:color w:val="auto"/>
          <w:lang w:val="en-US"/>
        </w:rPr>
        <w:t>kbit</w:t>
      </w:r>
      <w:proofErr w:type="spellEnd"/>
      <w:r w:rsidRPr="00DD34B5">
        <w:rPr>
          <w:rFonts w:asciiTheme="minorHAnsi" w:eastAsiaTheme="minorEastAsia" w:hAnsiTheme="minorHAnsi" w:cs="Arial"/>
          <w:color w:val="auto"/>
          <w:lang w:val="en-US"/>
        </w:rPr>
        <w:t>/s</w:t>
      </w:r>
      <w:proofErr w:type="gramEnd"/>
      <w:r w:rsidRPr="00DD34B5">
        <w:rPr>
          <w:rFonts w:asciiTheme="minorHAnsi" w:eastAsiaTheme="minorEastAsia" w:hAnsiTheme="minorHAnsi" w:cs="Arial"/>
          <w:color w:val="auto"/>
          <w:lang w:val="en-US"/>
        </w:rPr>
        <w:t>. The main types of broadband services are:</w:t>
      </w:r>
    </w:p>
    <w:p w:rsidR="00DD34B5" w:rsidRPr="00DD34B5" w:rsidRDefault="00DD34B5" w:rsidP="00DD34B5">
      <w:pPr>
        <w:rPr>
          <w:rFonts w:asciiTheme="minorHAnsi" w:eastAsiaTheme="minorEastAsia" w:hAnsiTheme="minorHAnsi" w:cs="Arial"/>
          <w:color w:val="auto"/>
          <w:lang w:val="en-US"/>
        </w:rPr>
      </w:pPr>
    </w:p>
    <w:p w:rsidR="00DD34B5" w:rsidRPr="00DD34B5" w:rsidRDefault="00DD34B5" w:rsidP="00DD34B5">
      <w:pPr>
        <w:autoSpaceDE w:val="0"/>
        <w:autoSpaceDN w:val="0"/>
        <w:adjustRightInd w:val="0"/>
        <w:rPr>
          <w:rFonts w:asciiTheme="minorHAnsi" w:eastAsiaTheme="minorEastAsia" w:hAnsiTheme="minorHAnsi" w:cs="Arial"/>
          <w:color w:val="auto"/>
          <w:lang w:val="en-US"/>
        </w:rPr>
      </w:pPr>
      <w:r w:rsidRPr="00DD34B5">
        <w:rPr>
          <w:rFonts w:asciiTheme="minorHAnsi" w:eastAsiaTheme="minorEastAsia" w:hAnsiTheme="minorHAnsi" w:cs="SymbolMT"/>
          <w:color w:val="auto"/>
          <w:lang w:val="en-US"/>
        </w:rPr>
        <w:t xml:space="preserve">• </w:t>
      </w:r>
      <w:r w:rsidRPr="00DD34B5">
        <w:rPr>
          <w:rFonts w:asciiTheme="minorHAnsi" w:eastAsiaTheme="minorEastAsia" w:hAnsiTheme="minorHAnsi" w:cs="Arial"/>
          <w:color w:val="auto"/>
          <w:lang w:val="en-US"/>
        </w:rPr>
        <w:t xml:space="preserve">Fixed (wired) broadband network, such as DSL, cable modem, high speed leased lines, </w:t>
      </w:r>
      <w:proofErr w:type="spellStart"/>
      <w:r w:rsidRPr="00DD34B5">
        <w:rPr>
          <w:rFonts w:asciiTheme="minorHAnsi" w:eastAsiaTheme="minorEastAsia" w:hAnsiTheme="minorHAnsi" w:cs="Arial"/>
          <w:color w:val="auto"/>
          <w:lang w:val="en-US"/>
        </w:rPr>
        <w:t>fibre</w:t>
      </w:r>
      <w:proofErr w:type="spellEnd"/>
      <w:r w:rsidRPr="00DD34B5">
        <w:rPr>
          <w:rFonts w:asciiTheme="minorHAnsi" w:eastAsiaTheme="minorEastAsia" w:hAnsiTheme="minorHAnsi" w:cs="Arial"/>
          <w:color w:val="auto"/>
          <w:lang w:val="en-US"/>
        </w:rPr>
        <w:t xml:space="preserve">-to-the-home/building, </w:t>
      </w:r>
      <w:proofErr w:type="spellStart"/>
      <w:r w:rsidRPr="00DD34B5">
        <w:rPr>
          <w:rFonts w:asciiTheme="minorHAnsi" w:eastAsiaTheme="minorEastAsia" w:hAnsiTheme="minorHAnsi" w:cs="Arial"/>
          <w:color w:val="auto"/>
          <w:lang w:val="en-US"/>
        </w:rPr>
        <w:t>powerline</w:t>
      </w:r>
      <w:proofErr w:type="spellEnd"/>
      <w:r w:rsidRPr="00DD34B5">
        <w:rPr>
          <w:rFonts w:asciiTheme="minorHAnsi" w:eastAsiaTheme="minorEastAsia" w:hAnsiTheme="minorHAnsi" w:cs="Arial"/>
          <w:color w:val="auto"/>
          <w:lang w:val="en-US"/>
        </w:rPr>
        <w:t xml:space="preserve"> and other fixed (wired) broadband</w:t>
      </w:r>
    </w:p>
    <w:p w:rsidR="00DD34B5" w:rsidRPr="00DD34B5" w:rsidRDefault="00DD34B5" w:rsidP="00DD34B5">
      <w:pPr>
        <w:autoSpaceDE w:val="0"/>
        <w:autoSpaceDN w:val="0"/>
        <w:adjustRightInd w:val="0"/>
        <w:rPr>
          <w:rFonts w:asciiTheme="minorHAnsi" w:eastAsiaTheme="minorEastAsia" w:hAnsiTheme="minorHAnsi" w:cs="Arial"/>
          <w:color w:val="auto"/>
          <w:lang w:val="en-US"/>
        </w:rPr>
      </w:pPr>
      <w:r w:rsidRPr="00DD34B5">
        <w:rPr>
          <w:rFonts w:asciiTheme="minorHAnsi" w:eastAsiaTheme="minorEastAsia" w:hAnsiTheme="minorHAnsi" w:cs="SymbolMT"/>
          <w:color w:val="auto"/>
          <w:lang w:val="en-US"/>
        </w:rPr>
        <w:t xml:space="preserve">• </w:t>
      </w:r>
      <w:r w:rsidRPr="00DD34B5">
        <w:rPr>
          <w:rFonts w:asciiTheme="minorHAnsi" w:eastAsiaTheme="minorEastAsia" w:hAnsiTheme="minorHAnsi" w:cs="Arial"/>
          <w:color w:val="auto"/>
          <w:lang w:val="en-US"/>
        </w:rPr>
        <w:t>Terrestrial fixed (wireless) broadband network, such as WiMAX, fixed CDMA</w:t>
      </w:r>
    </w:p>
    <w:p w:rsidR="00DD34B5" w:rsidRPr="00DD34B5" w:rsidRDefault="00DD34B5" w:rsidP="00DD34B5">
      <w:pPr>
        <w:autoSpaceDE w:val="0"/>
        <w:autoSpaceDN w:val="0"/>
        <w:adjustRightInd w:val="0"/>
        <w:rPr>
          <w:rFonts w:asciiTheme="minorHAnsi" w:eastAsiaTheme="minorEastAsia" w:hAnsiTheme="minorHAnsi" w:cs="Arial"/>
          <w:color w:val="auto"/>
          <w:lang w:val="en-US"/>
        </w:rPr>
      </w:pPr>
      <w:r w:rsidRPr="00DD34B5">
        <w:rPr>
          <w:rFonts w:asciiTheme="minorHAnsi" w:eastAsiaTheme="minorEastAsia" w:hAnsiTheme="minorHAnsi" w:cs="SymbolMT"/>
          <w:color w:val="auto"/>
          <w:lang w:val="en-US"/>
        </w:rPr>
        <w:t xml:space="preserve">• </w:t>
      </w:r>
      <w:r w:rsidRPr="00DD34B5">
        <w:rPr>
          <w:rFonts w:asciiTheme="minorHAnsi" w:eastAsiaTheme="minorEastAsia" w:hAnsiTheme="minorHAnsi" w:cs="Arial"/>
          <w:color w:val="auto"/>
          <w:lang w:val="en-US"/>
        </w:rPr>
        <w:t>Satellite broadband network (via a satellite connection)</w:t>
      </w:r>
    </w:p>
    <w:p w:rsidR="00DD34B5" w:rsidRPr="00DD34B5" w:rsidRDefault="00DD34B5" w:rsidP="00DD34B5">
      <w:pPr>
        <w:autoSpaceDE w:val="0"/>
        <w:autoSpaceDN w:val="0"/>
        <w:adjustRightInd w:val="0"/>
        <w:rPr>
          <w:rFonts w:asciiTheme="minorHAnsi" w:eastAsiaTheme="minorEastAsia" w:hAnsiTheme="minorHAnsi" w:cs="Arial"/>
          <w:color w:val="auto"/>
          <w:lang w:val="en-US"/>
        </w:rPr>
      </w:pPr>
      <w:r w:rsidRPr="00DD34B5">
        <w:rPr>
          <w:rFonts w:asciiTheme="minorHAnsi" w:eastAsiaTheme="minorEastAsia" w:hAnsiTheme="minorHAnsi" w:cs="SymbolMT"/>
          <w:color w:val="auto"/>
          <w:lang w:val="en-US"/>
        </w:rPr>
        <w:t xml:space="preserve">• </w:t>
      </w:r>
      <w:r w:rsidRPr="00DD34B5">
        <w:rPr>
          <w:rFonts w:asciiTheme="minorHAnsi" w:eastAsiaTheme="minorEastAsia" w:hAnsiTheme="minorHAnsi" w:cs="Arial"/>
          <w:color w:val="auto"/>
          <w:lang w:val="en-US"/>
        </w:rPr>
        <w:t>Mobile broadband network (at least 3G, e.g. UMTS) via a handset</w:t>
      </w:r>
    </w:p>
    <w:p w:rsidR="00DD34B5" w:rsidRPr="00DD34B5" w:rsidRDefault="00DD34B5" w:rsidP="00DD34B5">
      <w:pPr>
        <w:autoSpaceDE w:val="0"/>
        <w:autoSpaceDN w:val="0"/>
        <w:adjustRightInd w:val="0"/>
        <w:rPr>
          <w:rFonts w:asciiTheme="minorHAnsi" w:eastAsiaTheme="minorEastAsia" w:hAnsiTheme="minorHAnsi" w:cs="Arial"/>
          <w:color w:val="auto"/>
          <w:lang w:val="en-US"/>
        </w:rPr>
      </w:pPr>
      <w:r w:rsidRPr="00DD34B5">
        <w:rPr>
          <w:rFonts w:asciiTheme="minorHAnsi" w:eastAsiaTheme="minorEastAsia" w:hAnsiTheme="minorHAnsi" w:cs="SymbolMT"/>
          <w:color w:val="auto"/>
          <w:lang w:val="en-US"/>
        </w:rPr>
        <w:t xml:space="preserve">• </w:t>
      </w:r>
      <w:r w:rsidRPr="00DD34B5">
        <w:rPr>
          <w:rFonts w:asciiTheme="minorHAnsi" w:eastAsiaTheme="minorEastAsia" w:hAnsiTheme="minorHAnsi" w:cs="Arial"/>
          <w:color w:val="auto"/>
          <w:lang w:val="en-US"/>
        </w:rPr>
        <w:t>Mobile broadband network (at least 3G, e.g. UMTS) via a card (e.g. integrated SIM card in a computer) or USB modem</w:t>
      </w:r>
    </w:p>
    <w:p w:rsidR="00DD34B5" w:rsidRPr="00DD34B5" w:rsidRDefault="00DD34B5" w:rsidP="00DD34B5">
      <w:pPr>
        <w:rPr>
          <w:rFonts w:asciiTheme="minorHAnsi" w:eastAsia="MS Mincho" w:hAnsiTheme="minorHAnsi"/>
          <w:color w:val="auto"/>
          <w:lang w:val="en-US"/>
        </w:rPr>
      </w:pPr>
    </w:p>
    <w:p w:rsidR="00DD34B5" w:rsidRPr="00DD34B5" w:rsidRDefault="00DD34B5" w:rsidP="00DD34B5">
      <w:pPr>
        <w:autoSpaceDE w:val="0"/>
        <w:autoSpaceDN w:val="0"/>
        <w:adjustRightInd w:val="0"/>
        <w:rPr>
          <w:rFonts w:asciiTheme="minorHAnsi" w:eastAsiaTheme="minorEastAsia" w:hAnsiTheme="minorHAnsi" w:cs="Arial"/>
          <w:color w:val="auto"/>
          <w:lang w:val="en-US"/>
        </w:rPr>
      </w:pPr>
      <w:r w:rsidRPr="00DD34B5">
        <w:rPr>
          <w:rFonts w:asciiTheme="minorHAnsi" w:eastAsiaTheme="minorEastAsia" w:hAnsiTheme="minorHAnsi" w:cs="Arial"/>
          <w:color w:val="auto"/>
          <w:lang w:val="en-US"/>
        </w:rPr>
        <w:t xml:space="preserve">The </w:t>
      </w:r>
      <w:r w:rsidRPr="00DD34B5">
        <w:rPr>
          <w:rFonts w:asciiTheme="minorHAnsi" w:eastAsiaTheme="minorEastAsia" w:hAnsiTheme="minorHAnsi" w:cs="Arial"/>
          <w:i/>
          <w:iCs/>
          <w:color w:val="auto"/>
          <w:lang w:val="en-US"/>
        </w:rPr>
        <w:t xml:space="preserve">Internet </w:t>
      </w:r>
      <w:r w:rsidRPr="00DD34B5">
        <w:rPr>
          <w:rFonts w:asciiTheme="minorHAnsi" w:eastAsiaTheme="minorEastAsia" w:hAnsiTheme="minorHAnsi" w:cs="Arial"/>
          <w:color w:val="auto"/>
          <w:lang w:val="en-US"/>
        </w:rPr>
        <w:t xml:space="preserve">is a worldwide public computer network. It provides access to a number of communication services including the World Wide Web and carries e-mail, news, entertainment and data files, irrespective of the device used (not assumed to be only via a computer </w:t>
      </w:r>
      <w:r w:rsidRPr="00DD34B5">
        <w:rPr>
          <w:rFonts w:asciiTheme="minorHAnsi" w:eastAsiaTheme="minorEastAsia" w:hAnsiTheme="minorHAnsi" w:cs="SymbolMT"/>
          <w:color w:val="auto"/>
          <w:lang w:val="en-US"/>
        </w:rPr>
        <w:t xml:space="preserve">− </w:t>
      </w:r>
      <w:r w:rsidRPr="00DD34B5">
        <w:rPr>
          <w:rFonts w:asciiTheme="minorHAnsi" w:eastAsiaTheme="minorEastAsia" w:hAnsiTheme="minorHAnsi" w:cs="Arial"/>
          <w:color w:val="auto"/>
          <w:lang w:val="en-US"/>
        </w:rPr>
        <w:t xml:space="preserve">it may also be by mobile telephone, tablet, PDA, games machine, digital TV etc.). Access can be via a fixed or mobile network. </w:t>
      </w:r>
    </w:p>
    <w:p w:rsidR="00DD34B5" w:rsidRPr="00DD34B5" w:rsidRDefault="00DD34B5" w:rsidP="00DD34B5">
      <w:pPr>
        <w:rPr>
          <w:rFonts w:asciiTheme="minorHAnsi" w:eastAsia="MS Mincho" w:hAnsiTheme="minorHAnsi"/>
          <w:color w:val="auto"/>
          <w:lang w:val="en-US"/>
        </w:rPr>
      </w:pPr>
    </w:p>
    <w:p w:rsidR="00DD34B5" w:rsidRPr="00DD34B5" w:rsidRDefault="00DD34B5" w:rsidP="00DD34B5">
      <w:pPr>
        <w:rPr>
          <w:rFonts w:asciiTheme="minorHAnsi" w:eastAsiaTheme="minorEastAsia" w:hAnsiTheme="minorHAnsi" w:cs="Arial"/>
          <w:color w:val="auto"/>
          <w:lang w:val="en-US"/>
        </w:rPr>
      </w:pPr>
      <w:r w:rsidRPr="00DD34B5">
        <w:rPr>
          <w:rFonts w:asciiTheme="minorHAnsi" w:eastAsia="MS Mincho" w:hAnsiTheme="minorHAnsi"/>
          <w:color w:val="auto"/>
          <w:lang w:val="en-US"/>
        </w:rPr>
        <w:t xml:space="preserve">Data for this indicator can be collected through an official national household survey, by asking about household access to the Internet, broken down by type of Internet service (which can also include narrowband Internet access). </w:t>
      </w:r>
      <w:r w:rsidRPr="00DD34B5">
        <w:rPr>
          <w:rFonts w:asciiTheme="minorHAnsi" w:eastAsiaTheme="minorEastAsia" w:hAnsiTheme="minorHAnsi" w:cs="Arial"/>
          <w:color w:val="auto"/>
          <w:lang w:val="en-US"/>
        </w:rPr>
        <w:t>The number of in-scope households with Internet access by a given type of service is calculated by aggregating the weighted responses for each type of service. Proportions are expressed as percentages and are calculated by dividing the number of in-scope households with a given type of Internet service by either the total number of in-scope households with Internet or by the total number of in-scope households, and then multiplying the result by 100.</w:t>
      </w:r>
    </w:p>
    <w:p w:rsidR="00DD34B5" w:rsidRPr="00DD34B5" w:rsidRDefault="00DD34B5" w:rsidP="00DD34B5">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r w:rsidRPr="00DD34B5">
        <w:rPr>
          <w:rFonts w:asciiTheme="majorHAnsi" w:eastAsiaTheme="majorEastAsia" w:hAnsiTheme="majorHAnsi" w:cstheme="majorBidi"/>
          <w:b/>
          <w:bCs/>
          <w:color w:val="365F91" w:themeColor="accent1" w:themeShade="BF"/>
          <w:sz w:val="28"/>
          <w:szCs w:val="28"/>
          <w:lang w:eastAsia="ja-JP"/>
        </w:rPr>
        <w:t>Rationale and interpretation</w:t>
      </w:r>
    </w:p>
    <w:p w:rsidR="00DD34B5" w:rsidRPr="00DD34B5" w:rsidRDefault="00DD34B5" w:rsidP="00DD34B5">
      <w:pPr>
        <w:rPr>
          <w:rFonts w:asciiTheme="minorHAnsi" w:eastAsia="MS Mincho" w:hAnsiTheme="minorHAnsi"/>
          <w:color w:val="auto"/>
          <w:lang w:eastAsia="ja-JP"/>
        </w:rPr>
      </w:pPr>
      <w:r w:rsidRPr="00DD34B5">
        <w:rPr>
          <w:rFonts w:asciiTheme="minorHAnsi" w:eastAsia="MS Mincho" w:hAnsiTheme="minorHAnsi"/>
          <w:color w:val="auto"/>
          <w:lang w:eastAsia="ja-JP"/>
        </w:rPr>
        <w:t xml:space="preserve">Internet access, and in particular broadband Internet access, has become a key infrastructure, a key pillar to industrialization and a fundamental driver for innovation. It is an important driver for economic growth and development and can help foster well-being, in particular by delivering a growing number of services and applications, including in the </w:t>
      </w:r>
      <w:r w:rsidRPr="00DD34B5">
        <w:rPr>
          <w:rFonts w:asciiTheme="minorHAnsi" w:eastAsia="MS Mincho" w:hAnsiTheme="minorHAnsi"/>
          <w:color w:val="auto"/>
          <w:lang w:eastAsia="ja-JP"/>
        </w:rPr>
        <w:lastRenderedPageBreak/>
        <w:t xml:space="preserve">areas of business, health, education and governance. The number of Internet users has increased substantially over the last decade and access to the Internet has changed the way people live, communicate, work and do business. Internet uptake is a key indicator tracked by policy makers and others to measure track development. </w:t>
      </w:r>
    </w:p>
    <w:p w:rsidR="00DD34B5" w:rsidRPr="00DD34B5" w:rsidRDefault="00DD34B5" w:rsidP="00DD34B5">
      <w:pPr>
        <w:rPr>
          <w:rFonts w:asciiTheme="minorHAnsi" w:eastAsia="MS Mincho" w:hAnsiTheme="minorHAnsi"/>
          <w:color w:val="auto"/>
          <w:lang w:eastAsia="ja-JP"/>
        </w:rPr>
      </w:pPr>
    </w:p>
    <w:p w:rsidR="00DD34B5" w:rsidRPr="00DD34B5" w:rsidRDefault="00DD34B5" w:rsidP="00DD34B5">
      <w:pPr>
        <w:rPr>
          <w:rFonts w:asciiTheme="minorHAnsi" w:eastAsia="MS Mincho" w:hAnsiTheme="minorHAnsi"/>
          <w:color w:val="auto"/>
          <w:lang w:eastAsia="ja-JP"/>
        </w:rPr>
      </w:pPr>
      <w:r w:rsidRPr="00DD34B5">
        <w:rPr>
          <w:rFonts w:asciiTheme="minorHAnsi" w:eastAsia="MS Mincho" w:hAnsiTheme="minorHAnsi"/>
          <w:color w:val="auto"/>
          <w:lang w:eastAsia="ja-JP"/>
        </w:rPr>
        <w:t xml:space="preserve">Despite growth in networks, services and applications, information and communication technology (ICT) access and use is still far from equally distributed, and many people cannot yet benefit from the potential of the Internet. By 2015, less than 50 per cent of households in the world had access to the Internet, and thus limiting the benefits that Internet access can deliver. The indicator highlights the importance of Internet use as a development enabler and helps to measure the digital divide, which, if not properly addressed, will aggravate inequalities in all development domains. </w:t>
      </w:r>
    </w:p>
    <w:p w:rsidR="00DD34B5" w:rsidRPr="00DD34B5" w:rsidRDefault="00DD34B5" w:rsidP="00DD34B5">
      <w:pPr>
        <w:rPr>
          <w:rFonts w:asciiTheme="minorHAnsi" w:eastAsia="MS Mincho" w:hAnsiTheme="minorHAnsi"/>
          <w:color w:val="auto"/>
          <w:lang w:eastAsia="ja-JP"/>
        </w:rPr>
      </w:pPr>
    </w:p>
    <w:p w:rsidR="00DD34B5" w:rsidRPr="00DD34B5" w:rsidRDefault="00DD34B5" w:rsidP="00DD34B5">
      <w:pPr>
        <w:rPr>
          <w:rFonts w:asciiTheme="minorHAnsi" w:eastAsia="MS Mincho" w:hAnsiTheme="minorHAnsi"/>
          <w:color w:val="auto"/>
          <w:lang w:eastAsia="ja-JP"/>
        </w:rPr>
      </w:pPr>
      <w:r w:rsidRPr="00DD34B5">
        <w:rPr>
          <w:rFonts w:asciiTheme="minorHAnsi" w:eastAsia="MS Mincho" w:hAnsiTheme="minorHAnsi"/>
          <w:color w:val="auto"/>
          <w:lang w:eastAsia="ja-JP"/>
        </w:rPr>
        <w:t xml:space="preserve">A breakdown of this indicator by urban/rural households can help identify digital divides between urban and rural areas. </w:t>
      </w:r>
      <w:r w:rsidRPr="00DD34B5">
        <w:rPr>
          <w:rFonts w:asciiTheme="minorHAnsi" w:eastAsiaTheme="minorEastAsia" w:hAnsiTheme="minorHAnsi" w:cs="Arial"/>
          <w:color w:val="auto"/>
          <w:lang w:val="en-US"/>
        </w:rPr>
        <w:t>This information can contribute to the design of targeted policies to overcome those divides.</w:t>
      </w:r>
    </w:p>
    <w:p w:rsidR="00DD34B5" w:rsidRPr="00DD34B5" w:rsidRDefault="00DD34B5" w:rsidP="00DD34B5">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r w:rsidRPr="00DD34B5">
        <w:rPr>
          <w:rFonts w:asciiTheme="majorHAnsi" w:eastAsiaTheme="majorEastAsia" w:hAnsiTheme="majorHAnsi" w:cstheme="majorBidi"/>
          <w:b/>
          <w:bCs/>
          <w:color w:val="365F91" w:themeColor="accent1" w:themeShade="BF"/>
          <w:sz w:val="28"/>
          <w:szCs w:val="28"/>
          <w:lang w:eastAsia="ja-JP"/>
        </w:rPr>
        <w:t>Sources and data collection</w:t>
      </w:r>
    </w:p>
    <w:p w:rsidR="00DD34B5" w:rsidRPr="00DD34B5" w:rsidRDefault="00DD34B5" w:rsidP="00DD34B5">
      <w:pPr>
        <w:rPr>
          <w:rFonts w:asciiTheme="minorHAnsi" w:eastAsiaTheme="minorEastAsia" w:hAnsiTheme="minorHAnsi" w:cs="Arial"/>
          <w:color w:val="auto"/>
          <w:lang w:val="en-US"/>
        </w:rPr>
      </w:pPr>
      <w:r w:rsidRPr="00DD34B5">
        <w:rPr>
          <w:rFonts w:asciiTheme="minorHAnsi" w:eastAsiaTheme="minorEastAsia" w:hAnsiTheme="minorHAnsi" w:cs="Arial"/>
          <w:color w:val="auto"/>
          <w:lang w:val="en-US"/>
        </w:rPr>
        <w:t xml:space="preserve">The indicator on </w:t>
      </w:r>
      <w:r w:rsidRPr="00DD34B5">
        <w:rPr>
          <w:rFonts w:asciiTheme="minorHAnsi" w:eastAsiaTheme="minorEastAsia" w:hAnsiTheme="minorHAnsi" w:cs="Arial"/>
          <w:i/>
          <w:iCs/>
          <w:color w:val="auto"/>
          <w:lang w:val="en-US"/>
        </w:rPr>
        <w:t>proportion of</w:t>
      </w:r>
      <w:r w:rsidRPr="00DD34B5">
        <w:rPr>
          <w:rFonts w:asciiTheme="minorHAnsi" w:eastAsiaTheme="minorEastAsia" w:hAnsiTheme="minorHAnsi" w:cs="Arial"/>
          <w:color w:val="auto"/>
          <w:lang w:val="en-US"/>
        </w:rPr>
        <w:t xml:space="preserve"> </w:t>
      </w:r>
      <w:r w:rsidRPr="00DD34B5">
        <w:rPr>
          <w:rFonts w:asciiTheme="minorHAnsi" w:eastAsia="MS Mincho" w:hAnsiTheme="minorHAnsi"/>
          <w:i/>
          <w:iCs/>
          <w:color w:val="auto"/>
          <w:lang w:val="en-US"/>
        </w:rPr>
        <w:t>households with broadband Internet access, by urban/rural</w:t>
      </w:r>
      <w:r w:rsidRPr="00DD34B5" w:rsidDel="008B09D2">
        <w:rPr>
          <w:rFonts w:asciiTheme="minorHAnsi" w:eastAsiaTheme="minorEastAsia" w:hAnsiTheme="minorHAnsi" w:cs="Arial"/>
          <w:color w:val="auto"/>
          <w:lang w:val="en-US"/>
        </w:rPr>
        <w:t xml:space="preserve"> </w:t>
      </w:r>
      <w:r w:rsidRPr="00DD34B5">
        <w:rPr>
          <w:rFonts w:asciiTheme="minorHAnsi" w:eastAsia="MS Mincho" w:hAnsiTheme="minorHAnsi"/>
          <w:color w:val="auto"/>
          <w:lang w:val="en-US"/>
        </w:rPr>
        <w:t xml:space="preserve">is based on an internationally agreed definition and methodology, which have been developed under the coordination of ITU, through its Expert Groups and following an extensive consultation process with countries. It is </w:t>
      </w:r>
      <w:r w:rsidRPr="00DD34B5">
        <w:rPr>
          <w:rFonts w:asciiTheme="minorHAnsi" w:eastAsia="MS Mincho" w:hAnsiTheme="minorHAnsi"/>
          <w:color w:val="auto"/>
          <w:lang w:eastAsia="ja-JP"/>
        </w:rPr>
        <w:t xml:space="preserve">also a core indicator of the Partnership on Measuring ICT for Development's Core List of Indicators, which has been endorsed by the UN Statistical Commission (last time in 2014). </w:t>
      </w:r>
      <w:r w:rsidRPr="00DD34B5">
        <w:rPr>
          <w:rFonts w:asciiTheme="minorHAnsi" w:eastAsiaTheme="minorEastAsia" w:hAnsiTheme="minorHAnsi" w:cs="Arial"/>
          <w:color w:val="auto"/>
          <w:lang w:val="en-US"/>
        </w:rPr>
        <w:t xml:space="preserve">The </w:t>
      </w:r>
      <w:r w:rsidRPr="00DD34B5">
        <w:rPr>
          <w:rFonts w:asciiTheme="minorHAnsi" w:eastAsiaTheme="minorEastAsia" w:hAnsiTheme="minorHAnsi" w:cs="Arial"/>
          <w:i/>
          <w:iCs/>
          <w:color w:val="auto"/>
          <w:lang w:val="en-US"/>
        </w:rPr>
        <w:t>percentage of households with Internet access</w:t>
      </w:r>
      <w:r w:rsidRPr="00DD34B5">
        <w:rPr>
          <w:rFonts w:asciiTheme="minorHAnsi" w:eastAsiaTheme="minorEastAsia" w:hAnsiTheme="minorHAnsi" w:cs="Arial"/>
          <w:color w:val="auto"/>
          <w:lang w:val="en-US"/>
        </w:rPr>
        <w:t xml:space="preserve"> is also included in the ITU ICT Development Index, and thus considered a key metric for international comparisons of ICT developments. </w:t>
      </w:r>
    </w:p>
    <w:p w:rsidR="00DD34B5" w:rsidRPr="00DD34B5" w:rsidRDefault="00DD34B5" w:rsidP="00DD34B5">
      <w:pPr>
        <w:rPr>
          <w:rFonts w:asciiTheme="minorHAnsi" w:eastAsia="MS Mincho" w:hAnsiTheme="minorHAnsi"/>
          <w:color w:val="auto"/>
          <w:lang w:eastAsia="ja-JP"/>
        </w:rPr>
      </w:pPr>
    </w:p>
    <w:p w:rsidR="00DD34B5" w:rsidRPr="00DD34B5" w:rsidRDefault="00DD34B5" w:rsidP="00DD34B5">
      <w:pPr>
        <w:rPr>
          <w:rFonts w:asciiTheme="minorHAnsi" w:eastAsia="MS Mincho" w:hAnsiTheme="minorHAnsi"/>
          <w:color w:val="auto"/>
          <w:lang w:eastAsia="ja-JP"/>
        </w:rPr>
      </w:pPr>
      <w:r w:rsidRPr="00DD34B5">
        <w:rPr>
          <w:rFonts w:asciiTheme="minorHAnsi" w:eastAsia="MS Mincho" w:hAnsiTheme="minorHAnsi"/>
          <w:color w:val="auto"/>
          <w:lang w:eastAsia="ja-JP"/>
        </w:rPr>
        <w:t xml:space="preserve">Data on the </w:t>
      </w:r>
      <w:r w:rsidRPr="00DD34B5">
        <w:rPr>
          <w:rFonts w:asciiTheme="minorHAnsi" w:eastAsia="MS Mincho" w:hAnsiTheme="minorHAnsi"/>
          <w:i/>
          <w:iCs/>
          <w:color w:val="auto"/>
          <w:lang w:eastAsia="ja-JP"/>
        </w:rPr>
        <w:t xml:space="preserve">proportion of </w:t>
      </w:r>
      <w:r w:rsidRPr="00DD34B5">
        <w:rPr>
          <w:rFonts w:asciiTheme="minorHAnsi" w:eastAsia="MS Mincho" w:hAnsiTheme="minorHAnsi"/>
          <w:i/>
          <w:iCs/>
          <w:color w:val="auto"/>
          <w:lang w:val="en-US"/>
        </w:rPr>
        <w:t>households with broadband Internet access, by urban/rural</w:t>
      </w:r>
      <w:r w:rsidRPr="00DD34B5" w:rsidDel="008B09D2">
        <w:rPr>
          <w:rFonts w:asciiTheme="minorHAnsi" w:eastAsia="MS Mincho" w:hAnsiTheme="minorHAnsi"/>
          <w:color w:val="auto"/>
          <w:lang w:eastAsia="ja-JP"/>
        </w:rPr>
        <w:t xml:space="preserve"> </w:t>
      </w:r>
      <w:r w:rsidRPr="00DD34B5">
        <w:rPr>
          <w:rFonts w:asciiTheme="minorHAnsi" w:eastAsia="MS Mincho" w:hAnsiTheme="minorHAnsi"/>
          <w:color w:val="auto"/>
          <w:lang w:eastAsia="ja-JP"/>
        </w:rPr>
        <w:t xml:space="preserve">are collected through an annual questionnaire that ITU sends to national statistical offices (NSO). In this questionnaire ITU collects absolute values. The percentages are calculated a-posteriori.  The survey methodology is verified to ensure that it meets adequate statistical standards. The data are verified to ensure consistency with previous years’ data and situation of the country for other related indicators (ICT and economic). </w:t>
      </w:r>
    </w:p>
    <w:p w:rsidR="00DD34B5" w:rsidRPr="00DD34B5" w:rsidRDefault="00DD34B5" w:rsidP="00DD34B5">
      <w:pPr>
        <w:rPr>
          <w:rFonts w:asciiTheme="minorHAnsi" w:eastAsia="MS Mincho" w:hAnsiTheme="minorHAnsi"/>
          <w:color w:val="auto"/>
          <w:lang w:eastAsia="ja-JP"/>
        </w:rPr>
      </w:pPr>
    </w:p>
    <w:p w:rsidR="00DD34B5" w:rsidRPr="00DD34B5" w:rsidRDefault="00DD34B5" w:rsidP="00DD34B5">
      <w:pPr>
        <w:rPr>
          <w:rFonts w:asciiTheme="minorHAnsi" w:eastAsia="MS Mincho" w:hAnsiTheme="minorHAnsi"/>
          <w:color w:val="auto"/>
          <w:lang w:eastAsia="ja-JP"/>
        </w:rPr>
      </w:pPr>
      <w:r w:rsidRPr="00DD34B5">
        <w:rPr>
          <w:rFonts w:asciiTheme="minorHAnsi" w:eastAsia="MS Mincho" w:hAnsiTheme="minorHAnsi"/>
          <w:color w:val="auto"/>
          <w:lang w:eastAsia="ja-JP"/>
        </w:rPr>
        <w:t xml:space="preserve">Some countries conduct a household survey where the question on </w:t>
      </w:r>
      <w:r w:rsidRPr="00DD34B5">
        <w:rPr>
          <w:rFonts w:asciiTheme="minorHAnsi" w:eastAsia="MS Mincho" w:hAnsiTheme="minorHAnsi"/>
          <w:i/>
          <w:iCs/>
          <w:color w:val="auto"/>
          <w:lang w:val="en-US"/>
        </w:rPr>
        <w:t>households with broadband Internet access</w:t>
      </w:r>
      <w:r w:rsidRPr="00DD34B5">
        <w:rPr>
          <w:rFonts w:asciiTheme="minorHAnsi" w:eastAsia="MS Mincho" w:hAnsiTheme="minorHAnsi"/>
          <w:color w:val="auto"/>
          <w:lang w:val="en-US" w:eastAsia="ja-JP"/>
        </w:rPr>
        <w:t xml:space="preserve"> is included every year. </w:t>
      </w:r>
      <w:r w:rsidRPr="00DD34B5">
        <w:rPr>
          <w:rFonts w:asciiTheme="minorHAnsi" w:eastAsia="MS Mincho" w:hAnsiTheme="minorHAnsi"/>
          <w:color w:val="auto"/>
          <w:lang w:eastAsia="ja-JP"/>
        </w:rPr>
        <w:t>For others, the frequency is every two or three years. Overall, the indicator is available for 53 countries at least from one survey in the years 2011-2014.</w:t>
      </w:r>
    </w:p>
    <w:p w:rsidR="00DD34B5" w:rsidRPr="00DD34B5" w:rsidRDefault="00DD34B5" w:rsidP="00DD34B5">
      <w:pPr>
        <w:rPr>
          <w:rFonts w:asciiTheme="minorHAnsi" w:eastAsia="MS Mincho" w:hAnsiTheme="minorHAnsi"/>
          <w:color w:val="FF0000"/>
          <w:lang w:eastAsia="ja-JP"/>
        </w:rPr>
      </w:pPr>
    </w:p>
    <w:p w:rsidR="00DD34B5" w:rsidRPr="00DD34B5" w:rsidRDefault="00DD34B5" w:rsidP="00DD34B5">
      <w:pPr>
        <w:rPr>
          <w:rFonts w:asciiTheme="minorHAnsi" w:eastAsia="MS Mincho" w:hAnsiTheme="minorHAnsi"/>
          <w:color w:val="auto"/>
          <w:lang w:eastAsia="ja-JP"/>
        </w:rPr>
      </w:pPr>
      <w:r w:rsidRPr="00DD34B5">
        <w:rPr>
          <w:rFonts w:asciiTheme="minorHAnsi" w:eastAsia="MS Mincho" w:hAnsiTheme="minorHAnsi"/>
          <w:color w:val="auto"/>
          <w:lang w:eastAsia="ja-JP"/>
        </w:rPr>
        <w:t xml:space="preserve">ITU produces data on the </w:t>
      </w:r>
      <w:r w:rsidRPr="00DD34B5">
        <w:rPr>
          <w:rFonts w:asciiTheme="minorHAnsi" w:eastAsia="MS Mincho" w:hAnsiTheme="minorHAnsi"/>
          <w:i/>
          <w:iCs/>
          <w:color w:val="auto"/>
          <w:lang w:eastAsia="ja-JP"/>
        </w:rPr>
        <w:t>proportion of households with Internet access</w:t>
      </w:r>
      <w:r w:rsidRPr="00DD34B5">
        <w:rPr>
          <w:rFonts w:asciiTheme="minorHAnsi" w:eastAsia="MS Mincho" w:hAnsiTheme="minorHAnsi"/>
          <w:color w:val="auto"/>
          <w:lang w:eastAsia="ja-JP"/>
        </w:rPr>
        <w:t xml:space="preserve"> (not broken down by narrowband/broadband) for almost 200 economies. </w:t>
      </w:r>
      <w:r w:rsidRPr="00DD34B5">
        <w:rPr>
          <w:rFonts w:asciiTheme="minorHAnsi" w:eastAsiaTheme="minorEastAsia" w:hAnsiTheme="minorHAnsi" w:cs="Arial"/>
          <w:color w:val="auto"/>
          <w:lang w:val="en-US"/>
        </w:rPr>
        <w:t xml:space="preserve">Survey data for the </w:t>
      </w:r>
      <w:r w:rsidRPr="00DD34B5">
        <w:rPr>
          <w:rFonts w:asciiTheme="minorHAnsi" w:eastAsiaTheme="minorEastAsia" w:hAnsiTheme="minorHAnsi" w:cs="Arial"/>
          <w:i/>
          <w:iCs/>
          <w:color w:val="auto"/>
          <w:lang w:val="en-US"/>
        </w:rPr>
        <w:t>proportion of households with Internet access</w:t>
      </w:r>
      <w:r w:rsidRPr="00DD34B5">
        <w:rPr>
          <w:rFonts w:asciiTheme="minorHAnsi" w:eastAsiaTheme="minorEastAsia" w:hAnsiTheme="minorHAnsi" w:cs="Arial"/>
          <w:color w:val="auto"/>
          <w:lang w:val="en-US"/>
        </w:rPr>
        <w:t xml:space="preserve"> is available for 101 countries. For the other countries, ITU estimates the </w:t>
      </w:r>
      <w:r w:rsidRPr="00DD34B5">
        <w:rPr>
          <w:rFonts w:asciiTheme="minorHAnsi" w:eastAsiaTheme="minorEastAsia" w:hAnsiTheme="minorHAnsi" w:cs="Arial"/>
          <w:i/>
          <w:iCs/>
          <w:color w:val="auto"/>
          <w:lang w:val="en-US"/>
        </w:rPr>
        <w:t>proportion of households with Internet access</w:t>
      </w:r>
      <w:r w:rsidRPr="00DD34B5">
        <w:rPr>
          <w:rFonts w:asciiTheme="minorHAnsi" w:eastAsiaTheme="minorEastAsia" w:hAnsiTheme="minorHAnsi" w:cs="Arial"/>
          <w:color w:val="auto"/>
          <w:lang w:val="en-US"/>
        </w:rPr>
        <w:t xml:space="preserve"> based on other (mainly subscription) data. </w:t>
      </w:r>
    </w:p>
    <w:p w:rsidR="00DD34B5" w:rsidRPr="00DD34B5" w:rsidRDefault="00DD34B5" w:rsidP="00DD34B5">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r w:rsidRPr="00DD34B5">
        <w:rPr>
          <w:rFonts w:asciiTheme="majorHAnsi" w:eastAsiaTheme="majorEastAsia" w:hAnsiTheme="majorHAnsi" w:cstheme="majorBidi"/>
          <w:b/>
          <w:bCs/>
          <w:color w:val="365F91" w:themeColor="accent1" w:themeShade="BF"/>
          <w:sz w:val="28"/>
          <w:szCs w:val="28"/>
          <w:lang w:eastAsia="ja-JP"/>
        </w:rPr>
        <w:lastRenderedPageBreak/>
        <w:t>Disaggregation</w:t>
      </w:r>
    </w:p>
    <w:p w:rsidR="00DD34B5" w:rsidRPr="00DD34B5" w:rsidRDefault="00DD34B5" w:rsidP="00DD34B5">
      <w:pPr>
        <w:autoSpaceDE w:val="0"/>
        <w:autoSpaceDN w:val="0"/>
        <w:adjustRightInd w:val="0"/>
        <w:rPr>
          <w:rFonts w:asciiTheme="minorHAnsi" w:eastAsiaTheme="minorEastAsia" w:hAnsiTheme="minorHAnsi" w:cs="Arial"/>
          <w:color w:val="auto"/>
          <w:lang w:val="en-US"/>
        </w:rPr>
      </w:pPr>
      <w:r w:rsidRPr="00DD34B5">
        <w:rPr>
          <w:rFonts w:asciiTheme="minorHAnsi" w:eastAsia="MS Mincho" w:hAnsiTheme="minorHAnsi"/>
          <w:color w:val="auto"/>
        </w:rPr>
        <w:t xml:space="preserve">For countries that collect this indicator through an official survey, and if data </w:t>
      </w:r>
      <w:r w:rsidRPr="00DD34B5">
        <w:rPr>
          <w:rFonts w:asciiTheme="minorHAnsi" w:eastAsia="MS Mincho" w:hAnsiTheme="minorHAnsi"/>
          <w:color w:val="auto"/>
          <w:lang w:val="en-US"/>
        </w:rPr>
        <w:t>allow breakdown and disaggregation, the indicator can be broken down by</w:t>
      </w:r>
      <w:r w:rsidRPr="00DD34B5">
        <w:rPr>
          <w:rFonts w:asciiTheme="minorHAnsi" w:eastAsiaTheme="minorEastAsia" w:hAnsiTheme="minorHAnsi" w:cs="Arial"/>
          <w:color w:val="auto"/>
          <w:lang w:val="en-US"/>
        </w:rPr>
        <w:t xml:space="preserve"> the following household characteristics:</w:t>
      </w:r>
    </w:p>
    <w:p w:rsidR="00DD34B5" w:rsidRPr="00DD34B5" w:rsidRDefault="00DD34B5" w:rsidP="00DD34B5">
      <w:pPr>
        <w:autoSpaceDE w:val="0"/>
        <w:autoSpaceDN w:val="0"/>
        <w:adjustRightInd w:val="0"/>
        <w:rPr>
          <w:rFonts w:asciiTheme="minorHAnsi" w:eastAsiaTheme="minorEastAsia" w:hAnsiTheme="minorHAnsi" w:cs="Arial"/>
          <w:color w:val="auto"/>
          <w:lang w:val="en-US"/>
        </w:rPr>
      </w:pPr>
    </w:p>
    <w:p w:rsidR="00DD34B5" w:rsidRPr="00DD34B5" w:rsidRDefault="00DD34B5" w:rsidP="00DD34B5">
      <w:pPr>
        <w:autoSpaceDE w:val="0"/>
        <w:autoSpaceDN w:val="0"/>
        <w:adjustRightInd w:val="0"/>
        <w:rPr>
          <w:rFonts w:asciiTheme="minorHAnsi" w:eastAsiaTheme="minorEastAsia" w:hAnsiTheme="minorHAnsi" w:cs="Arial"/>
          <w:color w:val="auto"/>
          <w:lang w:val="en-US"/>
        </w:rPr>
      </w:pPr>
      <w:r w:rsidRPr="00DD34B5">
        <w:rPr>
          <w:rFonts w:asciiTheme="minorHAnsi" w:eastAsiaTheme="minorEastAsia" w:hAnsiTheme="minorHAnsi" w:cs="SymbolMT"/>
          <w:color w:val="auto"/>
          <w:lang w:val="en-US"/>
        </w:rPr>
        <w:t xml:space="preserve">• </w:t>
      </w:r>
      <w:r w:rsidRPr="00DD34B5">
        <w:rPr>
          <w:rFonts w:asciiTheme="minorHAnsi" w:eastAsiaTheme="minorEastAsia" w:hAnsiTheme="minorHAnsi" w:cs="Arial"/>
          <w:color w:val="auto"/>
          <w:lang w:val="en-US"/>
        </w:rPr>
        <w:t>Breakdown by region, such as geographical areas, urban/ rural.</w:t>
      </w:r>
    </w:p>
    <w:p w:rsidR="00DD34B5" w:rsidRPr="00DD34B5" w:rsidRDefault="00DD34B5" w:rsidP="00DD34B5">
      <w:pPr>
        <w:autoSpaceDE w:val="0"/>
        <w:autoSpaceDN w:val="0"/>
        <w:adjustRightInd w:val="0"/>
        <w:rPr>
          <w:rFonts w:asciiTheme="minorHAnsi" w:eastAsiaTheme="minorEastAsia" w:hAnsiTheme="minorHAnsi" w:cs="Arial"/>
          <w:color w:val="auto"/>
          <w:lang w:val="en-US"/>
        </w:rPr>
      </w:pPr>
      <w:r w:rsidRPr="00DD34B5">
        <w:rPr>
          <w:rFonts w:asciiTheme="minorHAnsi" w:eastAsiaTheme="minorEastAsia" w:hAnsiTheme="minorHAnsi" w:cs="SymbolMT"/>
          <w:color w:val="auto"/>
          <w:lang w:val="en-US"/>
        </w:rPr>
        <w:t xml:space="preserve">• </w:t>
      </w:r>
      <w:r w:rsidRPr="00DD34B5">
        <w:rPr>
          <w:rFonts w:asciiTheme="minorHAnsi" w:eastAsiaTheme="minorEastAsia" w:hAnsiTheme="minorHAnsi" w:cs="Arial"/>
          <w:color w:val="auto"/>
          <w:lang w:val="en-US"/>
        </w:rPr>
        <w:t>Breakdown by household characteristics, such as household composition and size, and whether the household has access to electricity.</w:t>
      </w:r>
    </w:p>
    <w:p w:rsidR="00DD34B5" w:rsidRPr="00DD34B5" w:rsidRDefault="00DD34B5" w:rsidP="00DD34B5">
      <w:pPr>
        <w:autoSpaceDE w:val="0"/>
        <w:autoSpaceDN w:val="0"/>
        <w:adjustRightInd w:val="0"/>
        <w:rPr>
          <w:rFonts w:asciiTheme="minorHAnsi" w:eastAsiaTheme="minorEastAsia" w:hAnsiTheme="minorHAnsi" w:cs="Arial"/>
          <w:color w:val="auto"/>
          <w:lang w:val="en-US"/>
        </w:rPr>
      </w:pPr>
      <w:r w:rsidRPr="00DD34B5">
        <w:rPr>
          <w:rFonts w:asciiTheme="minorHAnsi" w:eastAsiaTheme="minorEastAsia" w:hAnsiTheme="minorHAnsi" w:cs="SymbolMT"/>
          <w:color w:val="auto"/>
          <w:lang w:val="en-US"/>
        </w:rPr>
        <w:t xml:space="preserve">• </w:t>
      </w:r>
      <w:r w:rsidRPr="00DD34B5">
        <w:rPr>
          <w:rFonts w:asciiTheme="minorHAnsi" w:eastAsiaTheme="minorEastAsia" w:hAnsiTheme="minorHAnsi" w:cs="Arial"/>
          <w:color w:val="auto"/>
          <w:lang w:val="en-US"/>
        </w:rPr>
        <w:t xml:space="preserve">Breakdown by characteristics of the head of the household/household reference person, such as sex, level of education, occupation or status in the </w:t>
      </w:r>
      <w:proofErr w:type="spellStart"/>
      <w:r w:rsidRPr="00DD34B5">
        <w:rPr>
          <w:rFonts w:asciiTheme="minorHAnsi" w:eastAsiaTheme="minorEastAsia" w:hAnsiTheme="minorHAnsi" w:cs="Arial"/>
          <w:color w:val="auto"/>
          <w:lang w:val="en-US"/>
        </w:rPr>
        <w:t>labour</w:t>
      </w:r>
      <w:proofErr w:type="spellEnd"/>
      <w:r w:rsidRPr="00DD34B5">
        <w:rPr>
          <w:rFonts w:asciiTheme="minorHAnsi" w:eastAsiaTheme="minorEastAsia" w:hAnsiTheme="minorHAnsi" w:cs="Arial"/>
          <w:color w:val="auto"/>
          <w:lang w:val="en-US"/>
        </w:rPr>
        <w:t xml:space="preserve"> force.</w:t>
      </w:r>
    </w:p>
    <w:p w:rsidR="00DD34B5" w:rsidRPr="00DD34B5" w:rsidRDefault="00DD34B5" w:rsidP="00DD34B5">
      <w:pPr>
        <w:autoSpaceDE w:val="0"/>
        <w:autoSpaceDN w:val="0"/>
        <w:adjustRightInd w:val="0"/>
        <w:rPr>
          <w:rFonts w:asciiTheme="minorHAnsi" w:eastAsia="MS Mincho" w:hAnsiTheme="minorHAnsi"/>
          <w:color w:val="auto"/>
          <w:lang w:val="en-US"/>
        </w:rPr>
      </w:pPr>
      <w:r w:rsidRPr="00DD34B5">
        <w:rPr>
          <w:rFonts w:asciiTheme="minorHAnsi" w:eastAsiaTheme="minorEastAsia" w:hAnsiTheme="minorHAnsi" w:cs="SymbolMT"/>
          <w:color w:val="auto"/>
          <w:lang w:val="en-US"/>
        </w:rPr>
        <w:t xml:space="preserve">• </w:t>
      </w:r>
      <w:r w:rsidRPr="00DD34B5">
        <w:rPr>
          <w:rFonts w:asciiTheme="minorHAnsi" w:eastAsiaTheme="minorEastAsia" w:hAnsiTheme="minorHAnsi" w:cs="Arial"/>
          <w:color w:val="auto"/>
          <w:lang w:val="en-US"/>
        </w:rPr>
        <w:t>Other breakdowns or classifications, where relevant variables or questions are used in the questionnaire, such as household income.</w:t>
      </w:r>
    </w:p>
    <w:p w:rsidR="00DD34B5" w:rsidRPr="00DD34B5" w:rsidRDefault="00DD34B5" w:rsidP="00DD34B5">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r w:rsidRPr="00DD34B5">
        <w:rPr>
          <w:rFonts w:asciiTheme="majorHAnsi" w:eastAsiaTheme="majorEastAsia" w:hAnsiTheme="majorHAnsi" w:cstheme="majorBidi"/>
          <w:b/>
          <w:bCs/>
          <w:color w:val="365F91" w:themeColor="accent1" w:themeShade="BF"/>
          <w:sz w:val="28"/>
          <w:szCs w:val="28"/>
          <w:lang w:eastAsia="ja-JP"/>
        </w:rPr>
        <w:t>Comments and limitations</w:t>
      </w:r>
    </w:p>
    <w:p w:rsidR="00DD34B5" w:rsidRPr="00DD34B5" w:rsidRDefault="00DD34B5" w:rsidP="00DD34B5">
      <w:pPr>
        <w:rPr>
          <w:rFonts w:asciiTheme="minorHAnsi" w:eastAsiaTheme="minorEastAsia" w:hAnsiTheme="minorHAnsi" w:cs="Arial"/>
          <w:color w:val="auto"/>
        </w:rPr>
      </w:pPr>
      <w:r w:rsidRPr="00DD34B5">
        <w:rPr>
          <w:rFonts w:asciiTheme="minorHAnsi" w:eastAsiaTheme="minorEastAsia" w:hAnsiTheme="minorHAnsi" w:cs="Arial"/>
          <w:color w:val="auto"/>
          <w:lang w:val="en-US"/>
        </w:rPr>
        <w:t xml:space="preserve">Proposed categories of broadband and technical terms will probably vary between countries and therefore questions included in national household surveys/questionnaires must be adapted to the local context. For further information, see the </w:t>
      </w:r>
      <w:hyperlink r:id="rId6" w:history="1">
        <w:r w:rsidRPr="00DD34B5">
          <w:rPr>
            <w:rFonts w:asciiTheme="minorHAnsi" w:eastAsia="MS Mincho" w:hAnsiTheme="minorHAnsi" w:cs="Segoe UI"/>
            <w:color w:val="0000FF"/>
            <w:u w:val="single"/>
            <w:lang w:val="en-US" w:eastAsia="ja-JP"/>
          </w:rPr>
          <w:t>ITU Manual for Measuring ICT Access and Use by Households and Individuals 2014</w:t>
        </w:r>
      </w:hyperlink>
      <w:r w:rsidRPr="00DD34B5">
        <w:rPr>
          <w:rFonts w:asciiTheme="minorHAnsi" w:eastAsia="MS Mincho" w:hAnsiTheme="minorHAnsi" w:cs="Segoe UI"/>
          <w:color w:val="0000FF"/>
          <w:u w:val="single"/>
          <w:lang w:val="en-US" w:eastAsia="ja-JP"/>
        </w:rPr>
        <w:t xml:space="preserve">. </w:t>
      </w:r>
    </w:p>
    <w:p w:rsidR="00DD34B5" w:rsidRPr="00DD34B5" w:rsidRDefault="00DD34B5" w:rsidP="00DD34B5">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r w:rsidRPr="00DD34B5">
        <w:rPr>
          <w:rFonts w:asciiTheme="majorHAnsi" w:eastAsiaTheme="majorEastAsia" w:hAnsiTheme="majorHAnsi" w:cstheme="majorBidi"/>
          <w:b/>
          <w:bCs/>
          <w:color w:val="365F91" w:themeColor="accent1" w:themeShade="BF"/>
          <w:sz w:val="28"/>
          <w:szCs w:val="28"/>
          <w:lang w:eastAsia="ja-JP"/>
        </w:rPr>
        <w:t>Gender equality issues</w:t>
      </w:r>
    </w:p>
    <w:p w:rsidR="00DD34B5" w:rsidRPr="00DD34B5" w:rsidRDefault="00DD34B5" w:rsidP="00DD34B5">
      <w:pPr>
        <w:autoSpaceDE w:val="0"/>
        <w:autoSpaceDN w:val="0"/>
        <w:adjustRightInd w:val="0"/>
        <w:rPr>
          <w:rFonts w:asciiTheme="minorHAnsi" w:eastAsiaTheme="minorEastAsia" w:hAnsiTheme="minorHAnsi" w:cs="Arial"/>
          <w:color w:val="auto"/>
          <w:lang w:val="en-US"/>
        </w:rPr>
      </w:pPr>
      <w:r w:rsidRPr="00DD34B5">
        <w:rPr>
          <w:rFonts w:asciiTheme="minorHAnsi" w:eastAsiaTheme="minorEastAsia" w:hAnsiTheme="minorHAnsi" w:cs="Arial"/>
          <w:color w:val="auto"/>
        </w:rPr>
        <w:t xml:space="preserve">Information can be produced on the </w:t>
      </w:r>
      <w:r w:rsidRPr="00DD34B5">
        <w:rPr>
          <w:rFonts w:asciiTheme="minorHAnsi" w:eastAsiaTheme="minorEastAsia" w:hAnsiTheme="minorHAnsi" w:cs="Arial"/>
          <w:color w:val="auto"/>
          <w:lang w:val="en-US"/>
        </w:rPr>
        <w:t>breakdown by characteristics of the head of the household/household reference person, including sex, but ITU does not collect this information at the international level.</w:t>
      </w:r>
    </w:p>
    <w:p w:rsidR="00DD34B5" w:rsidRPr="00DD34B5" w:rsidRDefault="00DD34B5" w:rsidP="00DD34B5">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r w:rsidRPr="00DD34B5">
        <w:rPr>
          <w:rFonts w:asciiTheme="majorHAnsi" w:eastAsiaTheme="majorEastAsia" w:hAnsiTheme="majorHAnsi" w:cstheme="majorBidi"/>
          <w:b/>
          <w:bCs/>
          <w:color w:val="365F91" w:themeColor="accent1" w:themeShade="BF"/>
          <w:sz w:val="28"/>
          <w:szCs w:val="28"/>
          <w:lang w:eastAsia="ja-JP"/>
        </w:rPr>
        <w:t>Data for global and regional monitoring</w:t>
      </w:r>
    </w:p>
    <w:p w:rsidR="00DD34B5" w:rsidRPr="00DD34B5" w:rsidRDefault="00DD34B5" w:rsidP="00DD34B5">
      <w:pPr>
        <w:autoSpaceDE w:val="0"/>
        <w:autoSpaceDN w:val="0"/>
        <w:adjustRightInd w:val="0"/>
        <w:rPr>
          <w:rFonts w:asciiTheme="minorHAnsi" w:eastAsiaTheme="minorEastAsia" w:hAnsiTheme="minorHAnsi" w:cs="Arial"/>
          <w:color w:val="auto"/>
          <w:lang w:val="en-US"/>
        </w:rPr>
      </w:pPr>
      <w:r w:rsidRPr="00DD34B5">
        <w:rPr>
          <w:rFonts w:asciiTheme="minorHAnsi" w:eastAsia="MS Mincho" w:hAnsiTheme="minorHAnsi"/>
          <w:color w:val="auto"/>
          <w:lang w:eastAsia="ja-JP"/>
        </w:rPr>
        <w:t xml:space="preserve">Regional and global aggregates can be produced for the </w:t>
      </w:r>
      <w:r w:rsidRPr="00DD34B5">
        <w:rPr>
          <w:rFonts w:asciiTheme="minorHAnsi" w:eastAsiaTheme="minorEastAsia" w:hAnsiTheme="minorHAnsi" w:cs="Arial"/>
          <w:i/>
          <w:iCs/>
          <w:color w:val="auto"/>
          <w:lang w:val="en-US"/>
        </w:rPr>
        <w:t>proportion of households with Internet access</w:t>
      </w:r>
      <w:r w:rsidRPr="00DD34B5">
        <w:rPr>
          <w:rFonts w:asciiTheme="minorHAnsi" w:eastAsiaTheme="minorEastAsia" w:hAnsiTheme="minorHAnsi" w:cs="Arial"/>
          <w:color w:val="auto"/>
          <w:lang w:val="en-US"/>
        </w:rPr>
        <w:t xml:space="preserve"> since ITU produces data for this indicator for almost 200 economies. In cases where these data are not produced through official household surveys, ITU estimates the </w:t>
      </w:r>
      <w:r w:rsidRPr="00DD34B5">
        <w:rPr>
          <w:rFonts w:asciiTheme="minorHAnsi" w:eastAsiaTheme="minorEastAsia" w:hAnsiTheme="minorHAnsi" w:cs="Arial"/>
          <w:i/>
          <w:iCs/>
          <w:color w:val="auto"/>
          <w:lang w:val="en-US"/>
        </w:rPr>
        <w:t xml:space="preserve">proportion of households with Internet access </w:t>
      </w:r>
      <w:r w:rsidRPr="00DD34B5">
        <w:rPr>
          <w:rFonts w:asciiTheme="minorHAnsi" w:eastAsiaTheme="minorEastAsia" w:hAnsiTheme="minorHAnsi" w:cs="Arial"/>
          <w:color w:val="auto"/>
          <w:lang w:val="en-US"/>
        </w:rPr>
        <w:t xml:space="preserve">based on subscription data. Recent data for the </w:t>
      </w:r>
      <w:r w:rsidRPr="00DD34B5">
        <w:rPr>
          <w:rFonts w:asciiTheme="minorHAnsi" w:eastAsiaTheme="minorEastAsia" w:hAnsiTheme="minorHAnsi" w:cs="Arial"/>
          <w:i/>
          <w:iCs/>
          <w:color w:val="auto"/>
          <w:lang w:val="en-US"/>
        </w:rPr>
        <w:t>proportion of households with broadband Internet access</w:t>
      </w:r>
      <w:r w:rsidRPr="00DD34B5">
        <w:rPr>
          <w:rFonts w:asciiTheme="minorHAnsi" w:eastAsiaTheme="minorEastAsia" w:hAnsiTheme="minorHAnsi" w:cs="Arial"/>
          <w:color w:val="auto"/>
          <w:lang w:val="en-US"/>
        </w:rPr>
        <w:t xml:space="preserve"> is available for 53 countries and regional and global estimates cannot be produced, although more countries are expected to collect data for this indicator in the future. </w:t>
      </w:r>
    </w:p>
    <w:p w:rsidR="00DD34B5" w:rsidRPr="00DD34B5" w:rsidRDefault="00DD34B5" w:rsidP="00DD34B5">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r w:rsidRPr="00DD34B5">
        <w:rPr>
          <w:rFonts w:asciiTheme="majorHAnsi" w:eastAsiaTheme="majorEastAsia" w:hAnsiTheme="majorHAnsi" w:cstheme="majorBidi"/>
          <w:b/>
          <w:bCs/>
          <w:color w:val="365F91" w:themeColor="accent1" w:themeShade="BF"/>
          <w:sz w:val="28"/>
          <w:szCs w:val="28"/>
          <w:lang w:eastAsia="ja-JP"/>
        </w:rPr>
        <w:t>Supplementary information</w:t>
      </w:r>
    </w:p>
    <w:p w:rsidR="00DD34B5" w:rsidRPr="00DD34B5" w:rsidRDefault="00DD34B5" w:rsidP="00DD34B5">
      <w:pPr>
        <w:autoSpaceDE w:val="0"/>
        <w:autoSpaceDN w:val="0"/>
        <w:adjustRightInd w:val="0"/>
        <w:rPr>
          <w:rFonts w:asciiTheme="minorHAnsi" w:eastAsia="MS Mincho" w:hAnsiTheme="minorHAnsi"/>
          <w:color w:val="auto"/>
          <w:lang w:eastAsia="ja-JP"/>
        </w:rPr>
      </w:pPr>
      <w:r w:rsidRPr="00DD34B5">
        <w:rPr>
          <w:rFonts w:asciiTheme="minorHAnsi" w:eastAsia="MS Mincho" w:hAnsiTheme="minorHAnsi"/>
          <w:color w:val="auto"/>
          <w:lang w:eastAsia="ja-JP"/>
        </w:rPr>
        <w:t xml:space="preserve">Year-end data on the </w:t>
      </w:r>
      <w:r w:rsidRPr="00DD34B5">
        <w:rPr>
          <w:rFonts w:asciiTheme="minorHAnsi" w:eastAsia="MS Mincho" w:hAnsiTheme="minorHAnsi"/>
          <w:i/>
          <w:iCs/>
          <w:color w:val="auto"/>
          <w:lang w:eastAsia="ja-JP"/>
        </w:rPr>
        <w:t>proportion of households with Internet access</w:t>
      </w:r>
      <w:r w:rsidRPr="00DD34B5">
        <w:rPr>
          <w:rFonts w:asciiTheme="minorHAnsi" w:eastAsia="MS Mincho" w:hAnsiTheme="minorHAnsi"/>
          <w:color w:val="auto"/>
          <w:lang w:eastAsia="ja-JP"/>
        </w:rPr>
        <w:t xml:space="preserve"> are usually released in June of the following year through the ITU World Telecommunication/ICT Indicators Database. Data are also available at no cost through the ITU ICT Eye, see: </w:t>
      </w:r>
      <w:hyperlink r:id="rId7" w:history="1">
        <w:r w:rsidRPr="00DD34B5">
          <w:rPr>
            <w:rFonts w:asciiTheme="minorHAnsi" w:eastAsia="MS Mincho" w:hAnsiTheme="minorHAnsi"/>
            <w:color w:val="0000FF"/>
            <w:u w:val="single"/>
            <w:lang w:eastAsia="ja-JP"/>
          </w:rPr>
          <w:t>http://www.itu.int/ITU-D/ict/</w:t>
        </w:r>
      </w:hyperlink>
      <w:r w:rsidRPr="00DD34B5">
        <w:rPr>
          <w:rFonts w:asciiTheme="minorHAnsi" w:eastAsia="MS Mincho" w:hAnsiTheme="minorHAnsi"/>
          <w:color w:val="auto"/>
          <w:lang w:eastAsia="ja-JP"/>
        </w:rPr>
        <w:t xml:space="preserve">. </w:t>
      </w:r>
    </w:p>
    <w:p w:rsidR="00DD34B5" w:rsidRPr="00DD34B5" w:rsidRDefault="00DD34B5" w:rsidP="00DD34B5">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r w:rsidRPr="00DD34B5">
        <w:rPr>
          <w:rFonts w:asciiTheme="majorHAnsi" w:eastAsiaTheme="majorEastAsia" w:hAnsiTheme="majorHAnsi" w:cstheme="majorBidi"/>
          <w:b/>
          <w:bCs/>
          <w:color w:val="365F91" w:themeColor="accent1" w:themeShade="BF"/>
          <w:sz w:val="28"/>
          <w:szCs w:val="28"/>
          <w:lang w:eastAsia="ja-JP"/>
        </w:rPr>
        <w:t>References:</w:t>
      </w:r>
    </w:p>
    <w:p w:rsidR="00DD34B5" w:rsidRPr="00DD34B5" w:rsidRDefault="00DD34B5" w:rsidP="00DD34B5">
      <w:pPr>
        <w:numPr>
          <w:ilvl w:val="0"/>
          <w:numId w:val="1"/>
        </w:numPr>
        <w:contextualSpacing/>
        <w:rPr>
          <w:rFonts w:asciiTheme="minorHAnsi" w:eastAsia="MS Mincho" w:hAnsiTheme="minorHAnsi"/>
          <w:color w:val="auto"/>
          <w:lang w:eastAsia="ja-JP"/>
        </w:rPr>
      </w:pPr>
      <w:hyperlink r:id="rId8" w:history="1">
        <w:r w:rsidRPr="00DD34B5">
          <w:rPr>
            <w:rFonts w:asciiTheme="minorHAnsi" w:eastAsia="MS Mincho" w:hAnsiTheme="minorHAnsi" w:cs="Segoe UI"/>
            <w:color w:val="0000FF"/>
            <w:sz w:val="22"/>
            <w:szCs w:val="22"/>
            <w:u w:val="single"/>
            <w:lang w:val="en-US" w:eastAsia="ja-JP"/>
          </w:rPr>
          <w:t>ITU Manual for Measuring ICT Access and Use by Households and Individuals 2014</w:t>
        </w:r>
      </w:hyperlink>
    </w:p>
    <w:p w:rsidR="00DD34B5" w:rsidRPr="00DD34B5" w:rsidRDefault="00DD34B5" w:rsidP="00DD34B5">
      <w:pPr>
        <w:keepNext/>
        <w:keepLines/>
        <w:spacing w:before="480"/>
        <w:outlineLvl w:val="0"/>
        <w:rPr>
          <w:rFonts w:asciiTheme="majorHAnsi" w:eastAsiaTheme="majorEastAsia" w:hAnsiTheme="majorHAnsi" w:cstheme="majorBidi"/>
          <w:b/>
          <w:bCs/>
          <w:color w:val="365F91" w:themeColor="accent1" w:themeShade="BF"/>
          <w:sz w:val="28"/>
          <w:szCs w:val="28"/>
          <w:lang w:eastAsia="ja-JP"/>
        </w:rPr>
      </w:pPr>
      <w:proofErr w:type="gramStart"/>
      <w:r w:rsidRPr="00DD34B5">
        <w:rPr>
          <w:rFonts w:asciiTheme="majorHAnsi" w:eastAsiaTheme="majorEastAsia" w:hAnsiTheme="majorHAnsi" w:cstheme="majorBidi"/>
          <w:b/>
          <w:bCs/>
          <w:color w:val="365F91" w:themeColor="accent1" w:themeShade="BF"/>
          <w:sz w:val="28"/>
          <w:szCs w:val="28"/>
          <w:lang w:eastAsia="ja-JP"/>
        </w:rPr>
        <w:lastRenderedPageBreak/>
        <w:t>Targets for which indicator is</w:t>
      </w:r>
      <w:proofErr w:type="gramEnd"/>
      <w:r w:rsidRPr="00DD34B5">
        <w:rPr>
          <w:rFonts w:asciiTheme="majorHAnsi" w:eastAsiaTheme="majorEastAsia" w:hAnsiTheme="majorHAnsi" w:cstheme="majorBidi"/>
          <w:b/>
          <w:bCs/>
          <w:color w:val="365F91" w:themeColor="accent1" w:themeShade="BF"/>
          <w:sz w:val="28"/>
          <w:szCs w:val="28"/>
          <w:lang w:eastAsia="ja-JP"/>
        </w:rPr>
        <w:t xml:space="preserve"> relevant:</w:t>
      </w:r>
    </w:p>
    <w:p w:rsidR="00DD34B5" w:rsidRPr="00DD34B5" w:rsidRDefault="00DD34B5" w:rsidP="00DD34B5">
      <w:pPr>
        <w:rPr>
          <w:rFonts w:asciiTheme="minorHAnsi" w:eastAsia="MS Mincho" w:hAnsiTheme="minorHAnsi"/>
          <w:color w:val="auto"/>
          <w:lang w:eastAsia="ja-JP"/>
        </w:rPr>
      </w:pPr>
      <w:r w:rsidRPr="00DD34B5">
        <w:rPr>
          <w:rFonts w:asciiTheme="minorHAnsi" w:eastAsia="MS Mincho" w:hAnsiTheme="minorHAnsi"/>
          <w:color w:val="auto"/>
          <w:lang w:eastAsia="ja-JP"/>
        </w:rPr>
        <w:t xml:space="preserve">1.4, 9.c, 11.1, </w:t>
      </w:r>
    </w:p>
    <w:p w:rsidR="00DD34B5" w:rsidRPr="00DD34B5" w:rsidRDefault="00DD34B5" w:rsidP="00DD34B5">
      <w:pPr>
        <w:rPr>
          <w:rFonts w:asciiTheme="minorHAnsi" w:eastAsia="MS Mincho" w:hAnsiTheme="minorHAnsi"/>
          <w:color w:val="auto"/>
          <w:lang w:eastAsia="ja-JP"/>
        </w:rPr>
      </w:pPr>
    </w:p>
    <w:p w:rsidR="0035634B" w:rsidRPr="00DD34B5" w:rsidRDefault="00DD34B5" w:rsidP="00DD34B5">
      <w:pPr>
        <w:spacing w:after="200" w:line="276" w:lineRule="auto"/>
        <w:rPr>
          <w:rFonts w:asciiTheme="majorHAnsi" w:eastAsiaTheme="majorEastAsia" w:hAnsiTheme="majorHAnsi" w:cstheme="majorBidi"/>
          <w:b/>
          <w:bCs/>
          <w:color w:val="365F91" w:themeColor="accent1" w:themeShade="BF"/>
          <w:sz w:val="28"/>
          <w:szCs w:val="28"/>
          <w:lang w:eastAsia="ja-JP"/>
        </w:rPr>
      </w:pPr>
      <w:r w:rsidRPr="00DD34B5">
        <w:rPr>
          <w:rFonts w:asciiTheme="majorHAnsi" w:eastAsiaTheme="majorEastAsia" w:hAnsiTheme="majorHAnsi" w:cstheme="majorBidi"/>
          <w:color w:val="365F91" w:themeColor="accent1" w:themeShade="BF"/>
          <w:sz w:val="28"/>
          <w:szCs w:val="28"/>
          <w:lang w:eastAsia="ja-JP"/>
        </w:rPr>
        <w:br w:type="page"/>
      </w:r>
      <w:bookmarkStart w:id="3" w:name="_GoBack"/>
      <w:bookmarkEnd w:id="3"/>
    </w:p>
    <w:sectPr w:rsidR="0035634B" w:rsidRPr="00DD34B5">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MT">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3E00B4"/>
    <w:multiLevelType w:val="hybridMultilevel"/>
    <w:tmpl w:val="1B722F44"/>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4B5"/>
    <w:rsid w:val="0035634B"/>
    <w:rsid w:val="00374D74"/>
    <w:rsid w:val="00DD34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u.int/en/ITU-D/Statistics/Pages/publications/manual2014.aspx" TargetMode="External"/><Relationship Id="rId3" Type="http://schemas.microsoft.com/office/2007/relationships/stylesWithEffects" Target="stylesWithEffects.xml"/><Relationship Id="rId7" Type="http://schemas.openxmlformats.org/officeDocument/2006/relationships/hyperlink" Target="http://www.itu.int/ITU-D/ic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tu.int/en/ITU-D/Statistics/Pages/publications/manual2014.aspx"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1267</Words>
  <Characters>7228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8479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Benjamin Rae</cp:lastModifiedBy>
  <cp:revision>1</cp:revision>
  <dcterms:created xsi:type="dcterms:W3CDTF">2015-05-19T19:14:00Z</dcterms:created>
  <dcterms:modified xsi:type="dcterms:W3CDTF">2015-05-19T19:14:00Z</dcterms:modified>
</cp:coreProperties>
</file>